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tif" ContentType="image/tiff"/>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1BF2F7" w14:textId="77777777" w:rsidR="005C4D73" w:rsidRDefault="005C4D73" w:rsidP="00B4015F">
      <w:pPr>
        <w:pStyle w:val="MStitle"/>
      </w:pPr>
      <w:r>
        <w:t>Supplementary Information for:</w:t>
      </w:r>
    </w:p>
    <w:p w14:paraId="4244D6B5" w14:textId="77777777" w:rsidR="00B4015F" w:rsidRDefault="005C4D73" w:rsidP="00B4015F">
      <w:pPr>
        <w:pStyle w:val="MStitle"/>
      </w:pPr>
      <w:r>
        <w:rPr>
          <w:sz w:val="32"/>
          <w:szCs w:val="32"/>
        </w:rPr>
        <w:t>A year in the life of a central California kelp forest: physical and biological insights into biogeochemical variability</w:t>
      </w:r>
    </w:p>
    <w:p w14:paraId="65EDA396" w14:textId="77777777" w:rsidR="00B4015F" w:rsidRPr="00C26311" w:rsidRDefault="005C4D73" w:rsidP="00450DB9">
      <w:pPr>
        <w:pStyle w:val="Authors"/>
      </w:pPr>
      <w:r>
        <w:t xml:space="preserve">David A. Koweek, Kerry J. </w:t>
      </w:r>
      <w:proofErr w:type="spellStart"/>
      <w:r>
        <w:t>Nickols</w:t>
      </w:r>
      <w:proofErr w:type="spellEnd"/>
      <w:r>
        <w:t xml:space="preserve">, Paul R. Leary, Steve Y. </w:t>
      </w:r>
      <w:proofErr w:type="spellStart"/>
      <w:r>
        <w:t>Litvin</w:t>
      </w:r>
      <w:proofErr w:type="spellEnd"/>
      <w:r>
        <w:t xml:space="preserve">, Tom W. Bell, Timothy </w:t>
      </w:r>
      <w:proofErr w:type="spellStart"/>
      <w:r w:rsidRPr="008D2106">
        <w:t>Luthin</w:t>
      </w:r>
      <w:proofErr w:type="spellEnd"/>
      <w:r>
        <w:t xml:space="preserve">, Sarah Lummis, </w:t>
      </w:r>
      <w:r w:rsidRPr="008D2106">
        <w:t>David</w:t>
      </w:r>
      <w:r>
        <w:t xml:space="preserve"> A. </w:t>
      </w:r>
      <w:proofErr w:type="spellStart"/>
      <w:r>
        <w:t>Mucciarone</w:t>
      </w:r>
      <w:proofErr w:type="spellEnd"/>
      <w:r>
        <w:t>, and Robert B. Dunbar</w:t>
      </w:r>
    </w:p>
    <w:p w14:paraId="68A9966B" w14:textId="77777777" w:rsidR="000A1B66" w:rsidRDefault="000A1B66" w:rsidP="008E213F">
      <w:pPr>
        <w:pStyle w:val="Correspondence"/>
      </w:pPr>
    </w:p>
    <w:p w14:paraId="4CFC7A69" w14:textId="77777777" w:rsidR="005C4D73" w:rsidRDefault="005C4D73" w:rsidP="00B4015F">
      <w:r>
        <w:t>This supplementary information contains Table S1 and Figures S1-S8.</w:t>
      </w:r>
    </w:p>
    <w:p w14:paraId="0CF0EB6F" w14:textId="77777777" w:rsidR="005C4D73" w:rsidRDefault="005C4D73">
      <w:pPr>
        <w:spacing w:line="240" w:lineRule="auto"/>
        <w:jc w:val="left"/>
      </w:pPr>
      <w:r>
        <w:br w:type="page"/>
      </w:r>
    </w:p>
    <w:p w14:paraId="1184BA46" w14:textId="77777777" w:rsidR="005C4D73" w:rsidRDefault="005C4D73">
      <w:pPr>
        <w:spacing w:line="240" w:lineRule="auto"/>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10"/>
        <w:gridCol w:w="1548"/>
        <w:gridCol w:w="1726"/>
        <w:gridCol w:w="2216"/>
        <w:gridCol w:w="2056"/>
      </w:tblGrid>
      <w:tr w:rsidR="005C4D73" w:rsidRPr="00B94E68" w14:paraId="6099747A" w14:textId="77777777" w:rsidTr="00261123">
        <w:trPr>
          <w:jc w:val="center"/>
        </w:trPr>
        <w:tc>
          <w:tcPr>
            <w:tcW w:w="1310" w:type="dxa"/>
          </w:tcPr>
          <w:p w14:paraId="2BEAC4B5" w14:textId="77777777" w:rsidR="005C4D73" w:rsidRPr="00B94E68" w:rsidRDefault="005C4D73" w:rsidP="00261123">
            <w:pPr>
              <w:jc w:val="center"/>
            </w:pPr>
            <w:r w:rsidRPr="00B94E68">
              <w:t>CO</w:t>
            </w:r>
            <w:r w:rsidRPr="00B94E68">
              <w:rPr>
                <w:vertAlign w:val="subscript"/>
              </w:rPr>
              <w:t>2</w:t>
            </w:r>
            <w:r w:rsidRPr="00B94E68">
              <w:t xml:space="preserve"> system variable</w:t>
            </w:r>
          </w:p>
        </w:tc>
        <w:tc>
          <w:tcPr>
            <w:tcW w:w="1548" w:type="dxa"/>
          </w:tcPr>
          <w:p w14:paraId="68890CD9" w14:textId="77777777" w:rsidR="005C4D73" w:rsidRPr="00B94E68" w:rsidRDefault="005C4D73" w:rsidP="00261123">
            <w:pPr>
              <w:jc w:val="center"/>
            </w:pPr>
            <w:r w:rsidRPr="00B94E68">
              <w:rPr>
                <w:position w:val="-24"/>
                <w:sz w:val="24"/>
              </w:rPr>
              <w:object w:dxaOrig="1280" w:dyaOrig="620" w14:anchorId="2A2AB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25pt;height:31.55pt" o:ole="">
                  <v:imagedata r:id="rId9" o:title=""/>
                </v:shape>
                <o:OLEObject Type="Embed" ProgID="Equation.DSMT4" ShapeID="_x0000_i1025" DrawAspect="Content" ObjectID="_1415976396" r:id="rId10"/>
              </w:object>
            </w:r>
          </w:p>
        </w:tc>
        <w:tc>
          <w:tcPr>
            <w:tcW w:w="1726" w:type="dxa"/>
          </w:tcPr>
          <w:p w14:paraId="6CBECA67" w14:textId="77777777" w:rsidR="005C4D73" w:rsidRPr="00B94E68" w:rsidRDefault="005C4D73" w:rsidP="00261123">
            <w:pPr>
              <w:jc w:val="center"/>
            </w:pPr>
            <w:r w:rsidRPr="00B94E68">
              <w:rPr>
                <w:position w:val="-28"/>
                <w:sz w:val="24"/>
              </w:rPr>
              <w:object w:dxaOrig="1500" w:dyaOrig="660" w14:anchorId="42C1B02F">
                <v:shape id="_x0000_i1026" type="#_x0000_t75" style="width:75.3pt;height:32.1pt" o:ole="">
                  <v:imagedata r:id="rId11" o:title=""/>
                </v:shape>
                <o:OLEObject Type="Embed" ProgID="Equation.DSMT4" ShapeID="_x0000_i1026" DrawAspect="Content" ObjectID="_1415976397" r:id="rId12"/>
              </w:object>
            </w:r>
            <w:r w:rsidRPr="00B94E68">
              <w:t xml:space="preserve"> </w:t>
            </w:r>
          </w:p>
        </w:tc>
        <w:tc>
          <w:tcPr>
            <w:tcW w:w="2216" w:type="dxa"/>
          </w:tcPr>
          <w:p w14:paraId="6E67CEFF" w14:textId="77777777" w:rsidR="005C4D73" w:rsidRPr="00B94E68" w:rsidRDefault="005C4D73" w:rsidP="00261123">
            <w:pPr>
              <w:jc w:val="center"/>
            </w:pPr>
            <w:r w:rsidRPr="00B94E68">
              <w:rPr>
                <w:position w:val="-28"/>
                <w:sz w:val="24"/>
              </w:rPr>
              <w:object w:dxaOrig="2000" w:dyaOrig="660" w14:anchorId="1B90CFD2">
                <v:shape id="_x0000_i1027" type="#_x0000_t75" style="width:100.25pt;height:32.1pt" o:ole="">
                  <v:imagedata r:id="rId13" o:title=""/>
                </v:shape>
                <o:OLEObject Type="Embed" ProgID="Equation.DSMT4" ShapeID="_x0000_i1027" DrawAspect="Content" ObjectID="_1415976398" r:id="rId14"/>
              </w:object>
            </w:r>
          </w:p>
          <w:p w14:paraId="1F7CF6F6" w14:textId="77777777" w:rsidR="005C4D73" w:rsidRPr="00B94E68" w:rsidRDefault="005C4D73" w:rsidP="00261123">
            <w:pPr>
              <w:jc w:val="center"/>
            </w:pPr>
          </w:p>
        </w:tc>
        <w:tc>
          <w:tcPr>
            <w:tcW w:w="2056" w:type="dxa"/>
          </w:tcPr>
          <w:p w14:paraId="181B0B9E" w14:textId="77777777" w:rsidR="005C4D73" w:rsidRPr="00B94E68" w:rsidRDefault="005C4D73" w:rsidP="00261123">
            <w:pPr>
              <w:jc w:val="center"/>
            </w:pPr>
            <w:r w:rsidRPr="00B94E68">
              <w:rPr>
                <w:position w:val="-28"/>
                <w:sz w:val="24"/>
              </w:rPr>
              <w:object w:dxaOrig="1840" w:dyaOrig="660" w14:anchorId="1D816F7A">
                <v:shape id="_x0000_i1028" type="#_x0000_t75" style="width:91.95pt;height:32.1pt" o:ole="">
                  <v:imagedata r:id="rId15" o:title=""/>
                </v:shape>
                <o:OLEObject Type="Embed" ProgID="Equation.DSMT4" ShapeID="_x0000_i1028" DrawAspect="Content" ObjectID="_1415976399" r:id="rId16"/>
              </w:object>
            </w:r>
          </w:p>
        </w:tc>
      </w:tr>
      <w:tr w:rsidR="005C4D73" w:rsidRPr="00B94E68" w14:paraId="3F5DCF99" w14:textId="77777777" w:rsidTr="00261123">
        <w:trPr>
          <w:jc w:val="center"/>
        </w:trPr>
        <w:tc>
          <w:tcPr>
            <w:tcW w:w="1310" w:type="dxa"/>
          </w:tcPr>
          <w:p w14:paraId="7A16627B" w14:textId="77777777" w:rsidR="005C4D73" w:rsidRPr="00B94E68" w:rsidRDefault="005C4D73" w:rsidP="00261123">
            <w:pPr>
              <w:jc w:val="center"/>
            </w:pPr>
            <w:r w:rsidRPr="00B94E68">
              <w:t>pH</w:t>
            </w:r>
          </w:p>
        </w:tc>
        <w:tc>
          <w:tcPr>
            <w:tcW w:w="1548" w:type="dxa"/>
          </w:tcPr>
          <w:p w14:paraId="47CCF3AE" w14:textId="77777777" w:rsidR="005C4D73" w:rsidRPr="00B94E68" w:rsidRDefault="005C4D73" w:rsidP="00261123">
            <w:pPr>
              <w:jc w:val="center"/>
            </w:pPr>
            <w:r w:rsidRPr="00B94E68">
              <w:t>-0.0154</w:t>
            </w:r>
          </w:p>
        </w:tc>
        <w:tc>
          <w:tcPr>
            <w:tcW w:w="1726" w:type="dxa"/>
          </w:tcPr>
          <w:p w14:paraId="1CAD42BD" w14:textId="77777777" w:rsidR="005C4D73" w:rsidRPr="00B94E68" w:rsidRDefault="005C4D73" w:rsidP="00261123">
            <w:pPr>
              <w:jc w:val="center"/>
            </w:pPr>
            <w:r w:rsidRPr="00B94E68">
              <w:t>-0.0126</w:t>
            </w:r>
          </w:p>
        </w:tc>
        <w:tc>
          <w:tcPr>
            <w:tcW w:w="2216" w:type="dxa"/>
          </w:tcPr>
          <w:p w14:paraId="3DE60F0C" w14:textId="77777777" w:rsidR="005C4D73" w:rsidRPr="00B94E68" w:rsidRDefault="005C4D73" w:rsidP="00261123">
            <w:pPr>
              <w:jc w:val="center"/>
            </w:pPr>
            <w:r w:rsidRPr="00B94E68">
              <w:t>-0.0023</w:t>
            </w:r>
          </w:p>
        </w:tc>
        <w:tc>
          <w:tcPr>
            <w:tcW w:w="2056" w:type="dxa"/>
          </w:tcPr>
          <w:p w14:paraId="3DDC16A7" w14:textId="77777777" w:rsidR="005C4D73" w:rsidRPr="00B94E68" w:rsidRDefault="005C4D73" w:rsidP="00261123">
            <w:pPr>
              <w:jc w:val="center"/>
            </w:pPr>
            <w:r w:rsidRPr="00B94E68">
              <w:t>0.0022</w:t>
            </w:r>
          </w:p>
        </w:tc>
      </w:tr>
      <w:tr w:rsidR="005C4D73" w:rsidRPr="00B94E68" w14:paraId="25300435" w14:textId="77777777" w:rsidTr="00261123">
        <w:trPr>
          <w:jc w:val="center"/>
        </w:trPr>
        <w:tc>
          <w:tcPr>
            <w:tcW w:w="1310" w:type="dxa"/>
          </w:tcPr>
          <w:p w14:paraId="0CF1ECA3" w14:textId="77777777" w:rsidR="005C4D73" w:rsidRPr="00B94E68" w:rsidRDefault="005C4D73" w:rsidP="00261123">
            <w:pPr>
              <w:jc w:val="center"/>
            </w:pPr>
            <w:r w:rsidRPr="00B94E68">
              <w:t>pCO</w:t>
            </w:r>
            <w:r w:rsidRPr="00B94E68">
              <w:rPr>
                <w:vertAlign w:val="subscript"/>
              </w:rPr>
              <w:t>2</w:t>
            </w:r>
          </w:p>
        </w:tc>
        <w:tc>
          <w:tcPr>
            <w:tcW w:w="1548" w:type="dxa"/>
          </w:tcPr>
          <w:p w14:paraId="380FEAB4" w14:textId="77777777" w:rsidR="005C4D73" w:rsidRPr="00B94E68" w:rsidRDefault="005C4D73" w:rsidP="00261123">
            <w:pPr>
              <w:jc w:val="center"/>
            </w:pPr>
            <w:r w:rsidRPr="00B94E68">
              <w:t>17.47</w:t>
            </w:r>
          </w:p>
        </w:tc>
        <w:tc>
          <w:tcPr>
            <w:tcW w:w="1726" w:type="dxa"/>
          </w:tcPr>
          <w:p w14:paraId="55ABCBCA" w14:textId="77777777" w:rsidR="005C4D73" w:rsidRPr="00B94E68" w:rsidRDefault="005C4D73" w:rsidP="00261123">
            <w:pPr>
              <w:jc w:val="center"/>
            </w:pPr>
            <w:r w:rsidRPr="00B94E68">
              <w:t>10.64</w:t>
            </w:r>
          </w:p>
        </w:tc>
        <w:tc>
          <w:tcPr>
            <w:tcW w:w="2216" w:type="dxa"/>
          </w:tcPr>
          <w:p w14:paraId="3AB5DA67" w14:textId="77777777" w:rsidR="005C4D73" w:rsidRPr="00B94E68" w:rsidRDefault="005C4D73" w:rsidP="00261123">
            <w:pPr>
              <w:jc w:val="center"/>
            </w:pPr>
            <w:r w:rsidRPr="00B94E68">
              <w:t>2.571</w:t>
            </w:r>
          </w:p>
        </w:tc>
        <w:tc>
          <w:tcPr>
            <w:tcW w:w="2056" w:type="dxa"/>
          </w:tcPr>
          <w:p w14:paraId="6D8868F9" w14:textId="77777777" w:rsidR="005C4D73" w:rsidRPr="00B94E68" w:rsidRDefault="005C4D73" w:rsidP="00261123">
            <w:pPr>
              <w:jc w:val="center"/>
            </w:pPr>
            <w:r w:rsidRPr="00B94E68">
              <w:t>-2.235</w:t>
            </w:r>
          </w:p>
        </w:tc>
      </w:tr>
      <w:tr w:rsidR="005C4D73" w:rsidRPr="00B94E68" w14:paraId="2D075C66" w14:textId="77777777" w:rsidTr="00261123">
        <w:trPr>
          <w:jc w:val="center"/>
        </w:trPr>
        <w:tc>
          <w:tcPr>
            <w:tcW w:w="1310" w:type="dxa"/>
          </w:tcPr>
          <w:p w14:paraId="3E1E2086" w14:textId="77777777" w:rsidR="005C4D73" w:rsidRPr="00B94E68" w:rsidRDefault="005C4D73" w:rsidP="00261123">
            <w:pPr>
              <w:jc w:val="center"/>
            </w:pPr>
            <w:r w:rsidRPr="00B94E68">
              <w:t>Ω</w:t>
            </w:r>
            <w:r w:rsidRPr="00B94E68">
              <w:rPr>
                <w:vertAlign w:val="subscript"/>
              </w:rPr>
              <w:t>Ar</w:t>
            </w:r>
          </w:p>
        </w:tc>
        <w:tc>
          <w:tcPr>
            <w:tcW w:w="1548" w:type="dxa"/>
          </w:tcPr>
          <w:p w14:paraId="24D28228" w14:textId="77777777" w:rsidR="005C4D73" w:rsidRPr="00B94E68" w:rsidRDefault="005C4D73" w:rsidP="00261123">
            <w:pPr>
              <w:jc w:val="center"/>
            </w:pPr>
            <w:r w:rsidRPr="00B94E68">
              <w:t>0.0115</w:t>
            </w:r>
          </w:p>
        </w:tc>
        <w:tc>
          <w:tcPr>
            <w:tcW w:w="1726" w:type="dxa"/>
          </w:tcPr>
          <w:p w14:paraId="3AD80B54" w14:textId="77777777" w:rsidR="005C4D73" w:rsidRPr="00B94E68" w:rsidRDefault="005C4D73" w:rsidP="00261123">
            <w:pPr>
              <w:jc w:val="center"/>
            </w:pPr>
            <w:r w:rsidRPr="00B94E68">
              <w:t>-0.0195</w:t>
            </w:r>
          </w:p>
        </w:tc>
        <w:tc>
          <w:tcPr>
            <w:tcW w:w="2216" w:type="dxa"/>
          </w:tcPr>
          <w:p w14:paraId="0D376458" w14:textId="77777777" w:rsidR="005C4D73" w:rsidRPr="00B94E68" w:rsidRDefault="005C4D73" w:rsidP="00261123">
            <w:pPr>
              <w:jc w:val="center"/>
            </w:pPr>
            <w:r w:rsidRPr="00B94E68">
              <w:t>-0.0093</w:t>
            </w:r>
          </w:p>
        </w:tc>
        <w:tc>
          <w:tcPr>
            <w:tcW w:w="2056" w:type="dxa"/>
          </w:tcPr>
          <w:p w14:paraId="21113ABE" w14:textId="77777777" w:rsidR="005C4D73" w:rsidRPr="00B94E68" w:rsidRDefault="005C4D73" w:rsidP="00261123">
            <w:pPr>
              <w:jc w:val="center"/>
            </w:pPr>
            <w:r w:rsidRPr="00B94E68">
              <w:t>0.0097</w:t>
            </w:r>
          </w:p>
        </w:tc>
      </w:tr>
    </w:tbl>
    <w:p w14:paraId="0E707293" w14:textId="77777777" w:rsidR="005C4D73" w:rsidRDefault="005C4D73" w:rsidP="005C4D73">
      <w:pPr>
        <w:pStyle w:val="Caption"/>
        <w:jc w:val="center"/>
      </w:pPr>
    </w:p>
    <w:p w14:paraId="0AE829C1" w14:textId="0FC1E20C" w:rsidR="005C4D73" w:rsidRDefault="005C4D73" w:rsidP="005C4D73">
      <w:pPr>
        <w:pStyle w:val="Caption"/>
        <w:jc w:val="center"/>
      </w:pPr>
      <w:r>
        <w:t>Table S</w:t>
      </w:r>
      <w:r w:rsidR="00CB4EF5">
        <w:fldChar w:fldCharType="begin"/>
      </w:r>
      <w:r w:rsidR="00CB4EF5">
        <w:instrText xml:space="preserve"> SEQ Figure \* ARABIC </w:instrText>
      </w:r>
      <w:r w:rsidR="00CB4EF5">
        <w:fldChar w:fldCharType="separate"/>
      </w:r>
      <w:r>
        <w:rPr>
          <w:noProof/>
        </w:rPr>
        <w:t>1</w:t>
      </w:r>
      <w:r w:rsidR="00CB4EF5">
        <w:rPr>
          <w:noProof/>
        </w:rPr>
        <w:fldChar w:fldCharType="end"/>
      </w:r>
      <w:r>
        <w:t>: Empirically-derived CO</w:t>
      </w:r>
      <w:r w:rsidRPr="001175C3">
        <w:rPr>
          <w:vertAlign w:val="subscript"/>
        </w:rPr>
        <w:t>2</w:t>
      </w:r>
      <w:r>
        <w:t xml:space="preserve"> system variable sensitivities to temperature, salinity, DIC, and TA used in Eq. </w:t>
      </w:r>
      <w:r w:rsidR="007C23A2">
        <w:t>(</w:t>
      </w:r>
      <w:r>
        <w:t>2</w:t>
      </w:r>
      <w:r w:rsidR="007C23A2">
        <w:t>)</w:t>
      </w:r>
      <w:r>
        <w:t xml:space="preserve"> to quantify contributions to CO</w:t>
      </w:r>
      <w:r w:rsidRPr="001175C3">
        <w:rPr>
          <w:vertAlign w:val="subscript"/>
        </w:rPr>
        <w:t>2</w:t>
      </w:r>
      <w:r>
        <w:t xml:space="preserve"> system variability.</w:t>
      </w:r>
    </w:p>
    <w:p w14:paraId="07967502" w14:textId="77777777" w:rsidR="005C4D73" w:rsidRDefault="005C4D73" w:rsidP="005C4D73">
      <w:pPr>
        <w:spacing w:line="240" w:lineRule="auto"/>
        <w:jc w:val="center"/>
      </w:pPr>
    </w:p>
    <w:p w14:paraId="3213816E" w14:textId="77777777" w:rsidR="005C4D73" w:rsidRDefault="005C4D73" w:rsidP="005C4D73">
      <w:pPr>
        <w:spacing w:line="240" w:lineRule="auto"/>
        <w:jc w:val="center"/>
      </w:pPr>
    </w:p>
    <w:p w14:paraId="3159192D" w14:textId="77777777" w:rsidR="00F5258E" w:rsidRDefault="00F5258E" w:rsidP="003D5288"/>
    <w:p w14:paraId="4227A060" w14:textId="77777777" w:rsidR="005C4D73" w:rsidRDefault="005C4D73">
      <w:pPr>
        <w:spacing w:line="240" w:lineRule="auto"/>
        <w:jc w:val="left"/>
      </w:pPr>
      <w:r>
        <w:br w:type="page"/>
      </w:r>
    </w:p>
    <w:p w14:paraId="0540523A" w14:textId="77777777" w:rsidR="005C4D73" w:rsidRDefault="005C4D73" w:rsidP="003D5288"/>
    <w:p w14:paraId="0F9F3C43" w14:textId="77777777" w:rsidR="00F5258E" w:rsidRDefault="005C4D73" w:rsidP="005C4D73">
      <w:pPr>
        <w:jc w:val="center"/>
      </w:pPr>
      <w:r>
        <w:rPr>
          <w:noProof/>
          <w:lang w:val="en-US" w:eastAsia="en-US"/>
        </w:rPr>
        <w:drawing>
          <wp:inline distT="0" distB="0" distL="0" distR="0" wp14:anchorId="099E5A0A" wp14:editId="1AF0E663">
            <wp:extent cx="6372225" cy="4687570"/>
            <wp:effectExtent l="0" t="0" r="3175"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eps"/>
                    <pic:cNvPicPr/>
                  </pic:nvPicPr>
                  <pic:blipFill>
                    <a:blip r:embed="rId17">
                      <a:extLst>
                        <a:ext uri="{28A0092B-C50C-407E-A947-70E740481C1C}">
                          <a14:useLocalDpi xmlns:a14="http://schemas.microsoft.com/office/drawing/2010/main" val="0"/>
                        </a:ext>
                      </a:extLst>
                    </a:blip>
                    <a:stretch>
                      <a:fillRect/>
                    </a:stretch>
                  </pic:blipFill>
                  <pic:spPr>
                    <a:xfrm>
                      <a:off x="0" y="0"/>
                      <a:ext cx="6372225" cy="4687570"/>
                    </a:xfrm>
                    <a:prstGeom prst="rect">
                      <a:avLst/>
                    </a:prstGeom>
                  </pic:spPr>
                </pic:pic>
              </a:graphicData>
            </a:graphic>
          </wp:inline>
        </w:drawing>
      </w:r>
    </w:p>
    <w:p w14:paraId="6AD78ADD" w14:textId="77777777" w:rsidR="003A4FB4" w:rsidRDefault="003A4FB4" w:rsidP="00463D6B">
      <w:pPr>
        <w:pStyle w:val="Caption"/>
        <w:jc w:val="center"/>
      </w:pPr>
      <w:r>
        <w:t xml:space="preserve">Figure </w:t>
      </w:r>
      <w:r w:rsidR="005C4D73">
        <w:t>S</w:t>
      </w:r>
      <w:fldSimple w:instr=" SEQ Figure \* ARABIC ">
        <w:r w:rsidR="003118C8">
          <w:rPr>
            <w:noProof/>
          </w:rPr>
          <w:t>1</w:t>
        </w:r>
      </w:fldSimple>
      <w:r>
        <w:t xml:space="preserve">: </w:t>
      </w:r>
      <w:r w:rsidR="005C4D73">
        <w:t>Synthesis of regional-scale oceanography in Monterey Bay for 2007-2015, including a) wind speed, b) wind direction), c) sea surface temperature, d) NOAA Pacific Fisheries Environmental Laboratory (PFEL) upwelling index for 36</w:t>
      </w:r>
      <w:r w:rsidR="005C4D73" w:rsidRPr="00C12779">
        <w:t>°</w:t>
      </w:r>
      <w:r w:rsidR="005C4D73">
        <w:t>N 122</w:t>
      </w:r>
      <w:r w:rsidR="005C4D73" w:rsidRPr="00C12779">
        <w:t>°</w:t>
      </w:r>
      <w:r w:rsidR="005C4D73">
        <w:t>W (m</w:t>
      </w:r>
      <w:r w:rsidR="005C4D73" w:rsidRPr="00E961F4">
        <w:rPr>
          <w:vertAlign w:val="superscript"/>
        </w:rPr>
        <w:t>3</w:t>
      </w:r>
      <w:r w:rsidR="005C4D73">
        <w:t xml:space="preserve"> s</w:t>
      </w:r>
      <w:r w:rsidR="005C4D73" w:rsidRPr="00E961F4">
        <w:rPr>
          <w:vertAlign w:val="superscript"/>
        </w:rPr>
        <w:t>-1</w:t>
      </w:r>
      <w:r w:rsidR="005C4D73">
        <w:t xml:space="preserve"> 100m</w:t>
      </w:r>
      <w:r w:rsidR="005C4D73" w:rsidRPr="00E961F4">
        <w:rPr>
          <w:vertAlign w:val="superscript"/>
        </w:rPr>
        <w:t>-1</w:t>
      </w:r>
      <w:r w:rsidR="005C4D73">
        <w:t xml:space="preserve"> coastline), and e) significant wave height. All data were daily bin-averaged. Buoys 46240 (</w:t>
      </w:r>
      <w:r w:rsidR="005C4D73" w:rsidRPr="00E961F4">
        <w:rPr>
          <w:color w:val="000000"/>
          <w:shd w:val="clear" w:color="auto" w:fill="FFFFFF"/>
        </w:rPr>
        <w:t>36.626</w:t>
      </w:r>
      <w:r w:rsidR="005C4D73" w:rsidRPr="00C12779">
        <w:t>°</w:t>
      </w:r>
      <w:r w:rsidR="005C4D73" w:rsidRPr="00E961F4">
        <w:rPr>
          <w:color w:val="000000"/>
          <w:shd w:val="clear" w:color="auto" w:fill="FFFFFF"/>
        </w:rPr>
        <w:t>N 121.907</w:t>
      </w:r>
      <w:r w:rsidR="005C4D73" w:rsidRPr="00C12779">
        <w:t>°</w:t>
      </w:r>
      <w:r w:rsidR="005C4D73">
        <w:rPr>
          <w:color w:val="000000"/>
          <w:shd w:val="clear" w:color="auto" w:fill="FFFFFF"/>
        </w:rPr>
        <w:t>W; located ~500m northwest of the study site</w:t>
      </w:r>
      <w:r w:rsidR="005C4D73">
        <w:t>), 46042 (</w:t>
      </w:r>
      <w:r w:rsidR="005C4D73" w:rsidRPr="00E961F4">
        <w:t>36.791</w:t>
      </w:r>
      <w:r w:rsidR="005C4D73" w:rsidRPr="00C12779">
        <w:t>°</w:t>
      </w:r>
      <w:r w:rsidR="005C4D73" w:rsidRPr="00E961F4">
        <w:t>N 122.452</w:t>
      </w:r>
      <w:r w:rsidR="005C4D73" w:rsidRPr="00C12779">
        <w:t>°</w:t>
      </w:r>
      <w:r w:rsidR="005C4D73" w:rsidRPr="00E961F4">
        <w:t>W</w:t>
      </w:r>
      <w:r w:rsidR="005C4D73">
        <w:t>), 46236 (</w:t>
      </w:r>
      <w:r w:rsidR="005C4D73" w:rsidRPr="00E961F4">
        <w:t>36.760</w:t>
      </w:r>
      <w:r w:rsidR="005C4D73" w:rsidRPr="00C12779">
        <w:t>°</w:t>
      </w:r>
      <w:r w:rsidR="005C4D73" w:rsidRPr="00E961F4">
        <w:t>N 121.949</w:t>
      </w:r>
      <w:r w:rsidR="005C4D73" w:rsidRPr="00C12779">
        <w:t>°</w:t>
      </w:r>
      <w:r w:rsidR="005C4D73" w:rsidRPr="00E961F4">
        <w:t>W</w:t>
      </w:r>
      <w:r w:rsidR="005C4D73">
        <w:t>), and MTYC1 (</w:t>
      </w:r>
      <w:r w:rsidR="005C4D73" w:rsidRPr="00E961F4">
        <w:t>36.605</w:t>
      </w:r>
      <w:r w:rsidR="005C4D73" w:rsidRPr="00C12779">
        <w:t>°</w:t>
      </w:r>
      <w:r w:rsidR="005C4D73" w:rsidRPr="00E961F4">
        <w:t>N 121.889</w:t>
      </w:r>
      <w:r w:rsidR="005C4D73" w:rsidRPr="00C12779">
        <w:t>°</w:t>
      </w:r>
      <w:r w:rsidR="005C4D73" w:rsidRPr="00E961F4">
        <w:t>W</w:t>
      </w:r>
      <w:r w:rsidR="005C4D73">
        <w:t>) are all part of the NOAA National Data Buoy Center, where data can be accessed freely (</w:t>
      </w:r>
      <w:hyperlink r:id="rId18" w:history="1">
        <w:r w:rsidR="005C4D73" w:rsidRPr="007E0C77">
          <w:rPr>
            <w:rStyle w:val="Hyperlink"/>
          </w:rPr>
          <w:t>http://www.ndbc.noaa.gov/</w:t>
        </w:r>
      </w:hyperlink>
      <w:r w:rsidR="005C4D73">
        <w:t>).</w:t>
      </w:r>
    </w:p>
    <w:p w14:paraId="69F726C9" w14:textId="77777777" w:rsidR="005C4D73" w:rsidRDefault="005C4D73">
      <w:pPr>
        <w:spacing w:line="240" w:lineRule="auto"/>
        <w:jc w:val="left"/>
      </w:pPr>
      <w:r>
        <w:br w:type="page"/>
      </w:r>
    </w:p>
    <w:p w14:paraId="4997D971" w14:textId="77777777" w:rsidR="005C4D73" w:rsidRDefault="005C4D73" w:rsidP="005C4D73">
      <w:pPr>
        <w:jc w:val="center"/>
      </w:pPr>
      <w:r>
        <w:rPr>
          <w:noProof/>
          <w:lang w:val="en-US" w:eastAsia="en-US"/>
        </w:rPr>
        <w:lastRenderedPageBreak/>
        <w:drawing>
          <wp:inline distT="0" distB="0" distL="0" distR="0" wp14:anchorId="26C312A6" wp14:editId="24AF2400">
            <wp:extent cx="6286500" cy="5156200"/>
            <wp:effectExtent l="0" t="0" r="1270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eps"/>
                    <pic:cNvPicPr/>
                  </pic:nvPicPr>
                  <pic:blipFill>
                    <a:blip r:embed="rId19">
                      <a:extLst>
                        <a:ext uri="{28A0092B-C50C-407E-A947-70E740481C1C}">
                          <a14:useLocalDpi xmlns:a14="http://schemas.microsoft.com/office/drawing/2010/main" val="0"/>
                        </a:ext>
                      </a:extLst>
                    </a:blip>
                    <a:stretch>
                      <a:fillRect/>
                    </a:stretch>
                  </pic:blipFill>
                  <pic:spPr>
                    <a:xfrm>
                      <a:off x="0" y="0"/>
                      <a:ext cx="6286500" cy="5156200"/>
                    </a:xfrm>
                    <a:prstGeom prst="rect">
                      <a:avLst/>
                    </a:prstGeom>
                  </pic:spPr>
                </pic:pic>
              </a:graphicData>
            </a:graphic>
          </wp:inline>
        </w:drawing>
      </w:r>
    </w:p>
    <w:p w14:paraId="617D9785" w14:textId="77777777" w:rsidR="005C4D73" w:rsidRDefault="005C4D73" w:rsidP="005C4D73">
      <w:pPr>
        <w:pStyle w:val="Caption"/>
        <w:jc w:val="center"/>
      </w:pPr>
      <w:r>
        <w:t>Figure S2: Modeled significant wave height for January 1, 2013- December 31, 2014 on the protected and exposed sides of the kelp forest. Model d</w:t>
      </w:r>
      <w:r w:rsidRPr="004C5D68">
        <w:t xml:space="preserve">ata were obtained from the Coastal Data Information Program’s  (CDIP) nowcast wave-propagation model (available at </w:t>
      </w:r>
      <w:hyperlink r:id="rId20" w:history="1">
        <w:r w:rsidRPr="004C5D68">
          <w:rPr>
            <w:rStyle w:val="Hyperlink"/>
          </w:rPr>
          <w:t>http://cdip.ucsd.edu/</w:t>
        </w:r>
      </w:hyperlink>
      <w:r w:rsidRPr="004C5D68">
        <w:t>). The model provides spatially explicit (200</w:t>
      </w:r>
      <w:r>
        <w:t xml:space="preserve"> </w:t>
      </w:r>
      <w:r w:rsidRPr="004C5D68">
        <w:t>m resolution) hourly estimates of significant wave height (</w:t>
      </w:r>
      <w:r w:rsidRPr="004C5D68">
        <w:rPr>
          <w:i/>
        </w:rPr>
        <w:t>H</w:t>
      </w:r>
      <w:r w:rsidRPr="004C5D68">
        <w:rPr>
          <w:i/>
          <w:vertAlign w:val="subscript"/>
        </w:rPr>
        <w:t>s</w:t>
      </w:r>
      <w:r w:rsidRPr="004C5D68">
        <w:t>) at a depth of 10m simulated from long period (&gt;8</w:t>
      </w:r>
      <w:r>
        <w:t xml:space="preserve"> </w:t>
      </w:r>
      <w:r w:rsidRPr="004C5D68">
        <w:t>s</w:t>
      </w:r>
      <w:r>
        <w:t>econds</w:t>
      </w:r>
      <w:r w:rsidRPr="004C5D68">
        <w:t xml:space="preserve">) offshore waves measured at the CDIP buoy 157. These data represent the maximum observed hourly </w:t>
      </w:r>
      <w:r w:rsidRPr="004C5D68">
        <w:rPr>
          <w:i/>
        </w:rPr>
        <w:t>H</w:t>
      </w:r>
      <w:r w:rsidRPr="004C5D68">
        <w:rPr>
          <w:i/>
          <w:vertAlign w:val="subscript"/>
        </w:rPr>
        <w:t>s</w:t>
      </w:r>
      <w:r w:rsidRPr="004C5D68">
        <w:t xml:space="preserve"> for each day during the study period for the model pixel closest to the </w:t>
      </w:r>
      <w:r>
        <w:t>wave-</w:t>
      </w:r>
      <w:r w:rsidRPr="004C5D68">
        <w:t xml:space="preserve">protected and </w:t>
      </w:r>
      <w:r>
        <w:t>wave-</w:t>
      </w:r>
      <w:r w:rsidRPr="004C5D68">
        <w:t xml:space="preserve">exposed </w:t>
      </w:r>
      <w:r>
        <w:t xml:space="preserve">sides of the </w:t>
      </w:r>
      <w:r w:rsidRPr="004C5D68">
        <w:t>kelp forests.</w:t>
      </w:r>
      <w:r>
        <w:t xml:space="preserve"> The blue line is an ordinary least squares regression and the black dashed line is 1:1 for reference. The slope of the blue line is significantly greater than 1 (p&lt;0.05).</w:t>
      </w:r>
    </w:p>
    <w:p w14:paraId="35859880" w14:textId="45587875" w:rsidR="0008799D" w:rsidRDefault="0008799D">
      <w:pPr>
        <w:spacing w:line="240" w:lineRule="auto"/>
        <w:jc w:val="left"/>
      </w:pPr>
      <w:r>
        <w:br w:type="page"/>
      </w:r>
    </w:p>
    <w:p w14:paraId="6E11E848" w14:textId="52B0AC39" w:rsidR="0008799D" w:rsidRDefault="0008799D" w:rsidP="0008799D">
      <w:pPr>
        <w:jc w:val="center"/>
      </w:pPr>
      <w:r>
        <w:rPr>
          <w:noProof/>
          <w:lang w:val="en-US" w:eastAsia="en-US"/>
        </w:rPr>
        <w:lastRenderedPageBreak/>
        <w:drawing>
          <wp:inline distT="0" distB="0" distL="0" distR="0" wp14:anchorId="5ECBECFC" wp14:editId="077B8669">
            <wp:extent cx="6371538" cy="4610735"/>
            <wp:effectExtent l="0" t="0" r="444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png"/>
                    <pic:cNvPicPr/>
                  </pic:nvPicPr>
                  <pic:blipFill>
                    <a:blip r:embed="rId21">
                      <a:extLst>
                        <a:ext uri="{28A0092B-C50C-407E-A947-70E740481C1C}">
                          <a14:useLocalDpi xmlns:a14="http://schemas.microsoft.com/office/drawing/2010/main" val="0"/>
                        </a:ext>
                      </a:extLst>
                    </a:blip>
                    <a:stretch>
                      <a:fillRect/>
                    </a:stretch>
                  </pic:blipFill>
                  <pic:spPr>
                    <a:xfrm>
                      <a:off x="0" y="0"/>
                      <a:ext cx="6371538" cy="4610735"/>
                    </a:xfrm>
                    <a:prstGeom prst="rect">
                      <a:avLst/>
                    </a:prstGeom>
                  </pic:spPr>
                </pic:pic>
              </a:graphicData>
            </a:graphic>
          </wp:inline>
        </w:drawing>
      </w:r>
    </w:p>
    <w:p w14:paraId="1C5E4F8F" w14:textId="78F2133E" w:rsidR="0008799D" w:rsidRDefault="0008799D" w:rsidP="0008799D">
      <w:pPr>
        <w:pStyle w:val="Caption"/>
        <w:jc w:val="center"/>
      </w:pPr>
      <w:r>
        <w:t>Figure S</w:t>
      </w:r>
      <w:fldSimple w:instr=" SEQ Figure \* ARABIC ">
        <w:r>
          <w:rPr>
            <w:noProof/>
          </w:rPr>
          <w:t>3</w:t>
        </w:r>
      </w:fldSimple>
      <w:r>
        <w:t>: Depth-resolved salinity profiles along the protected transect throughout the 14-months time series. White spaces, including October 2013 and August 2014, are missing data due to the CTD not recording or poor data removed during quality control.</w:t>
      </w:r>
    </w:p>
    <w:p w14:paraId="79D92609" w14:textId="0C074AB9" w:rsidR="0008799D" w:rsidRDefault="0008799D">
      <w:pPr>
        <w:spacing w:line="240" w:lineRule="auto"/>
        <w:jc w:val="left"/>
      </w:pPr>
      <w:r>
        <w:br w:type="page"/>
      </w:r>
    </w:p>
    <w:p w14:paraId="0ECA5F05" w14:textId="48A9E3FF" w:rsidR="0008799D" w:rsidRDefault="0008799D" w:rsidP="0008799D">
      <w:pPr>
        <w:jc w:val="center"/>
      </w:pPr>
      <w:r>
        <w:rPr>
          <w:noProof/>
          <w:lang w:val="en-US" w:eastAsia="en-US"/>
        </w:rPr>
        <w:lastRenderedPageBreak/>
        <w:drawing>
          <wp:inline distT="0" distB="0" distL="0" distR="0" wp14:anchorId="389C9869" wp14:editId="45BE17B0">
            <wp:extent cx="6277492" cy="5010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eps"/>
                    <pic:cNvPicPr/>
                  </pic:nvPicPr>
                  <pic:blipFill>
                    <a:blip r:embed="rId22">
                      <a:extLst>
                        <a:ext uri="{28A0092B-C50C-407E-A947-70E740481C1C}">
                          <a14:useLocalDpi xmlns:a14="http://schemas.microsoft.com/office/drawing/2010/main" val="0"/>
                        </a:ext>
                      </a:extLst>
                    </a:blip>
                    <a:stretch>
                      <a:fillRect/>
                    </a:stretch>
                  </pic:blipFill>
                  <pic:spPr>
                    <a:xfrm>
                      <a:off x="0" y="0"/>
                      <a:ext cx="6277492" cy="5010150"/>
                    </a:xfrm>
                    <a:prstGeom prst="rect">
                      <a:avLst/>
                    </a:prstGeom>
                  </pic:spPr>
                </pic:pic>
              </a:graphicData>
            </a:graphic>
          </wp:inline>
        </w:drawing>
      </w:r>
    </w:p>
    <w:p w14:paraId="02C56EB1" w14:textId="40CB02E1" w:rsidR="0008799D" w:rsidRDefault="0008799D" w:rsidP="0008799D">
      <w:pPr>
        <w:pStyle w:val="Caption"/>
        <w:jc w:val="center"/>
      </w:pPr>
      <w:r>
        <w:t>Figure S</w:t>
      </w:r>
      <w:fldSimple w:instr=" SEQ Figure \* ARABIC ">
        <w:r>
          <w:rPr>
            <w:noProof/>
          </w:rPr>
          <w:t>4</w:t>
        </w:r>
      </w:fldSimple>
      <w:r>
        <w:t>: Observed top-to-bottom differences in pH for all six sites along with the calculated contributions of temperature (red), salinity (magenta), DIC (blue), and TA (yellow) to the observed pH gradients as quantified by Eq. (2). The residual difference between the observed and calculated contributions is shown in cyan.</w:t>
      </w:r>
    </w:p>
    <w:p w14:paraId="4C58050F" w14:textId="67CE6B5F" w:rsidR="00FA4333" w:rsidRDefault="00FA4333">
      <w:pPr>
        <w:spacing w:line="240" w:lineRule="auto"/>
        <w:jc w:val="left"/>
      </w:pPr>
      <w:r>
        <w:br w:type="page"/>
      </w:r>
    </w:p>
    <w:p w14:paraId="74FA0994" w14:textId="56B07507" w:rsidR="00FA4333" w:rsidRDefault="00FA4333" w:rsidP="00FA4333">
      <w:pPr>
        <w:jc w:val="center"/>
      </w:pPr>
      <w:r>
        <w:rPr>
          <w:noProof/>
          <w:lang w:val="en-US" w:eastAsia="en-US"/>
        </w:rPr>
        <w:lastRenderedPageBreak/>
        <w:drawing>
          <wp:inline distT="0" distB="0" distL="0" distR="0" wp14:anchorId="4A865F70" wp14:editId="4E5306A1">
            <wp:extent cx="6289598" cy="4982210"/>
            <wp:effectExtent l="0" t="0" r="1016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5.eps"/>
                    <pic:cNvPicPr/>
                  </pic:nvPicPr>
                  <pic:blipFill>
                    <a:blip r:embed="rId23">
                      <a:extLst>
                        <a:ext uri="{28A0092B-C50C-407E-A947-70E740481C1C}">
                          <a14:useLocalDpi xmlns:a14="http://schemas.microsoft.com/office/drawing/2010/main" val="0"/>
                        </a:ext>
                      </a:extLst>
                    </a:blip>
                    <a:stretch>
                      <a:fillRect/>
                    </a:stretch>
                  </pic:blipFill>
                  <pic:spPr>
                    <a:xfrm>
                      <a:off x="0" y="0"/>
                      <a:ext cx="6289598" cy="4982210"/>
                    </a:xfrm>
                    <a:prstGeom prst="rect">
                      <a:avLst/>
                    </a:prstGeom>
                  </pic:spPr>
                </pic:pic>
              </a:graphicData>
            </a:graphic>
          </wp:inline>
        </w:drawing>
      </w:r>
    </w:p>
    <w:p w14:paraId="0987787E" w14:textId="22D44E51" w:rsidR="00FA4333" w:rsidRDefault="00FA4333" w:rsidP="00FA4333">
      <w:pPr>
        <w:pStyle w:val="Caption"/>
        <w:jc w:val="center"/>
      </w:pPr>
      <w:r>
        <w:t>Figure S</w:t>
      </w:r>
      <w:fldSimple w:instr=" SEQ Figure \* ARABIC ">
        <w:r>
          <w:rPr>
            <w:noProof/>
          </w:rPr>
          <w:t>5</w:t>
        </w:r>
      </w:fldSimple>
      <w:r>
        <w:t>: Observed top-to-bottom differences in pCO</w:t>
      </w:r>
      <w:r w:rsidRPr="00C542FE">
        <w:rPr>
          <w:vertAlign w:val="subscript"/>
        </w:rPr>
        <w:t>2</w:t>
      </w:r>
      <w:r>
        <w:t xml:space="preserve"> for all six sites along with the calculated contributions of temperature (red), salinity (magenta), DIC (blue), and TA (yellow) to the observed pCO</w:t>
      </w:r>
      <w:r w:rsidRPr="001D0362">
        <w:rPr>
          <w:vertAlign w:val="subscript"/>
        </w:rPr>
        <w:t>2</w:t>
      </w:r>
      <w:r>
        <w:t xml:space="preserve"> gradients as quantified by Eq. (2). The residual difference between the observed and calculated contributions is shown in cyan.</w:t>
      </w:r>
    </w:p>
    <w:p w14:paraId="0615A14A" w14:textId="0861DD9A" w:rsidR="008360E2" w:rsidRDefault="008360E2">
      <w:pPr>
        <w:spacing w:line="240" w:lineRule="auto"/>
        <w:jc w:val="left"/>
      </w:pPr>
      <w:r>
        <w:br w:type="page"/>
      </w:r>
    </w:p>
    <w:p w14:paraId="2D7F0F99" w14:textId="477DEC58" w:rsidR="008360E2" w:rsidRDefault="008360E2" w:rsidP="008360E2">
      <w:pPr>
        <w:jc w:val="center"/>
      </w:pPr>
      <w:r>
        <w:rPr>
          <w:noProof/>
          <w:lang w:val="en-US" w:eastAsia="en-US"/>
        </w:rPr>
        <w:lastRenderedPageBreak/>
        <w:drawing>
          <wp:inline distT="0" distB="0" distL="0" distR="0" wp14:anchorId="44E0B40D" wp14:editId="3BE107A6">
            <wp:extent cx="6288486" cy="5026025"/>
            <wp:effectExtent l="0" t="0" r="1079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eps"/>
                    <pic:cNvPicPr/>
                  </pic:nvPicPr>
                  <pic:blipFill>
                    <a:blip r:embed="rId24">
                      <a:extLst>
                        <a:ext uri="{28A0092B-C50C-407E-A947-70E740481C1C}">
                          <a14:useLocalDpi xmlns:a14="http://schemas.microsoft.com/office/drawing/2010/main" val="0"/>
                        </a:ext>
                      </a:extLst>
                    </a:blip>
                    <a:stretch>
                      <a:fillRect/>
                    </a:stretch>
                  </pic:blipFill>
                  <pic:spPr>
                    <a:xfrm>
                      <a:off x="0" y="0"/>
                      <a:ext cx="6288486" cy="5026025"/>
                    </a:xfrm>
                    <a:prstGeom prst="rect">
                      <a:avLst/>
                    </a:prstGeom>
                  </pic:spPr>
                </pic:pic>
              </a:graphicData>
            </a:graphic>
          </wp:inline>
        </w:drawing>
      </w:r>
    </w:p>
    <w:p w14:paraId="718129DF" w14:textId="08381AB6" w:rsidR="008360E2" w:rsidRDefault="008360E2" w:rsidP="008360E2">
      <w:pPr>
        <w:pStyle w:val="Caption"/>
        <w:jc w:val="center"/>
      </w:pPr>
      <w:r>
        <w:t>Figure S</w:t>
      </w:r>
      <w:fldSimple w:instr=" SEQ Figure \* ARABIC ">
        <w:r>
          <w:rPr>
            <w:noProof/>
          </w:rPr>
          <w:t>6</w:t>
        </w:r>
      </w:fldSimple>
      <w:r>
        <w:t xml:space="preserve">: Observed top-to-bottom differences in </w:t>
      </w:r>
      <w:r w:rsidRPr="00FC5594">
        <w:t>Ω</w:t>
      </w:r>
      <w:r>
        <w:rPr>
          <w:vertAlign w:val="subscript"/>
        </w:rPr>
        <w:t>A</w:t>
      </w:r>
      <w:r w:rsidRPr="00FC5594">
        <w:rPr>
          <w:vertAlign w:val="subscript"/>
        </w:rPr>
        <w:t>r</w:t>
      </w:r>
      <w:r>
        <w:t xml:space="preserve"> for all six sites along with the calculated contributions of temperature (red), salinity (magenta), DIC (blue), and TA (yellow) to the observed </w:t>
      </w:r>
      <w:r w:rsidRPr="00FC5594">
        <w:t>Ω</w:t>
      </w:r>
      <w:r>
        <w:rPr>
          <w:vertAlign w:val="subscript"/>
        </w:rPr>
        <w:t>A</w:t>
      </w:r>
      <w:r w:rsidRPr="00FC5594">
        <w:rPr>
          <w:vertAlign w:val="subscript"/>
        </w:rPr>
        <w:t>r</w:t>
      </w:r>
      <w:r>
        <w:t xml:space="preserve"> gradients as quantified by Eq. (2). The residual difference between the observed and calculated contributions is shown in cyan.</w:t>
      </w:r>
    </w:p>
    <w:p w14:paraId="67B6F50B" w14:textId="2EDB1EB4" w:rsidR="00F51CFA" w:rsidRDefault="00F51CFA">
      <w:pPr>
        <w:spacing w:line="240" w:lineRule="auto"/>
        <w:jc w:val="left"/>
      </w:pPr>
      <w:r>
        <w:br w:type="page"/>
      </w:r>
    </w:p>
    <w:p w14:paraId="2735BB68" w14:textId="09585A38" w:rsidR="00F51CFA" w:rsidRDefault="00F51CFA" w:rsidP="00F51CFA">
      <w:pPr>
        <w:jc w:val="center"/>
      </w:pPr>
      <w:r>
        <w:rPr>
          <w:noProof/>
          <w:lang w:val="en-US" w:eastAsia="en-US"/>
        </w:rPr>
        <w:lastRenderedPageBreak/>
        <w:drawing>
          <wp:inline distT="0" distB="0" distL="0" distR="0" wp14:anchorId="1D89C015" wp14:editId="51387BCC">
            <wp:extent cx="6372225" cy="493261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7.eps"/>
                    <pic:cNvPicPr/>
                  </pic:nvPicPr>
                  <pic:blipFill>
                    <a:blip r:embed="rId25">
                      <a:extLst>
                        <a:ext uri="{28A0092B-C50C-407E-A947-70E740481C1C}">
                          <a14:useLocalDpi xmlns:a14="http://schemas.microsoft.com/office/drawing/2010/main" val="0"/>
                        </a:ext>
                      </a:extLst>
                    </a:blip>
                    <a:stretch>
                      <a:fillRect/>
                    </a:stretch>
                  </pic:blipFill>
                  <pic:spPr>
                    <a:xfrm>
                      <a:off x="0" y="0"/>
                      <a:ext cx="6372225" cy="4932615"/>
                    </a:xfrm>
                    <a:prstGeom prst="rect">
                      <a:avLst/>
                    </a:prstGeom>
                  </pic:spPr>
                </pic:pic>
              </a:graphicData>
            </a:graphic>
          </wp:inline>
        </w:drawing>
      </w:r>
    </w:p>
    <w:p w14:paraId="6C3C97CE" w14:textId="79DF6B1B" w:rsidR="00F51CFA" w:rsidRPr="00F51CFA" w:rsidRDefault="00F51CFA" w:rsidP="00F51CFA">
      <w:pPr>
        <w:pStyle w:val="Caption"/>
        <w:jc w:val="center"/>
      </w:pPr>
      <w:r>
        <w:t>Figure S</w:t>
      </w:r>
      <w:fldSimple w:instr=" SEQ Figure \* ARABIC ">
        <w:r>
          <w:rPr>
            <w:noProof/>
          </w:rPr>
          <w:t>7</w:t>
        </w:r>
      </w:fldSimple>
      <w:r>
        <w:t>: Time series of Revelle Factors for July 2013-August 2014. Solid lines are bottom samples and dashed lines are surface samples.</w:t>
      </w:r>
    </w:p>
    <w:p w14:paraId="1951C862" w14:textId="0541EF86" w:rsidR="0073030B" w:rsidRDefault="0073030B">
      <w:pPr>
        <w:spacing w:line="240" w:lineRule="auto"/>
        <w:jc w:val="left"/>
      </w:pPr>
      <w:r>
        <w:br w:type="page"/>
      </w:r>
      <w:bookmarkStart w:id="0" w:name="_GoBack"/>
      <w:bookmarkEnd w:id="0"/>
    </w:p>
    <w:p w14:paraId="4D8E87E6" w14:textId="59809961" w:rsidR="008360E2" w:rsidRDefault="0073030B" w:rsidP="008360E2">
      <w:pPr>
        <w:jc w:val="center"/>
      </w:pPr>
      <w:r>
        <w:rPr>
          <w:noProof/>
          <w:lang w:val="en-US" w:eastAsia="en-US"/>
        </w:rPr>
        <w:lastRenderedPageBreak/>
        <w:drawing>
          <wp:inline distT="0" distB="0" distL="0" distR="0" wp14:anchorId="3588FF45" wp14:editId="08C3C776">
            <wp:extent cx="6372225" cy="454787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8.tif"/>
                    <pic:cNvPicPr/>
                  </pic:nvPicPr>
                  <pic:blipFill>
                    <a:blip r:embed="rId26">
                      <a:extLst>
                        <a:ext uri="{28A0092B-C50C-407E-A947-70E740481C1C}">
                          <a14:useLocalDpi xmlns:a14="http://schemas.microsoft.com/office/drawing/2010/main" val="0"/>
                        </a:ext>
                      </a:extLst>
                    </a:blip>
                    <a:stretch>
                      <a:fillRect/>
                    </a:stretch>
                  </pic:blipFill>
                  <pic:spPr>
                    <a:xfrm>
                      <a:off x="0" y="0"/>
                      <a:ext cx="6372225" cy="4547870"/>
                    </a:xfrm>
                    <a:prstGeom prst="rect">
                      <a:avLst/>
                    </a:prstGeom>
                  </pic:spPr>
                </pic:pic>
              </a:graphicData>
            </a:graphic>
          </wp:inline>
        </w:drawing>
      </w:r>
    </w:p>
    <w:p w14:paraId="669B8BAA" w14:textId="18BB35B2" w:rsidR="0073030B" w:rsidRPr="00F51CFA" w:rsidRDefault="0073030B" w:rsidP="0073030B">
      <w:pPr>
        <w:pStyle w:val="Caption"/>
        <w:jc w:val="center"/>
      </w:pPr>
      <w:r>
        <w:t>Figure S</w:t>
      </w:r>
      <w:fldSimple w:instr=" SEQ Figure \* ARABIC ">
        <w:r>
          <w:rPr>
            <w:noProof/>
          </w:rPr>
          <w:t>8</w:t>
        </w:r>
      </w:fldSimple>
      <w:r>
        <w:t xml:space="preserve">: Site-to-site correlation heat maps of </w:t>
      </w:r>
      <w:r w:rsidRPr="00FC5594">
        <w:t>Ω</w:t>
      </w:r>
      <w:r>
        <w:rPr>
          <w:vertAlign w:val="subscript"/>
        </w:rPr>
        <w:t>A</w:t>
      </w:r>
      <w:r w:rsidRPr="00FC5594">
        <w:rPr>
          <w:vertAlign w:val="subscript"/>
        </w:rPr>
        <w:t>r</w:t>
      </w:r>
      <w:r>
        <w:t xml:space="preserve"> separated by season. Top row of heat maps are surface samples and bottom row are bottom samples. Left column includes samples collected between March 1 and September 1, while the right column includes samples collected between September 1 and March 1. Blank spaces show statistically insignificant (p&gt;0.05) correlations.</w:t>
      </w:r>
    </w:p>
    <w:p w14:paraId="59C7A673" w14:textId="77777777" w:rsidR="0073030B" w:rsidRPr="008360E2" w:rsidRDefault="0073030B" w:rsidP="008360E2">
      <w:pPr>
        <w:jc w:val="center"/>
      </w:pPr>
    </w:p>
    <w:p w14:paraId="30856BDB" w14:textId="77777777" w:rsidR="00FA4333" w:rsidRPr="00FA4333" w:rsidRDefault="00FA4333" w:rsidP="00FA4333">
      <w:pPr>
        <w:jc w:val="center"/>
      </w:pPr>
    </w:p>
    <w:p w14:paraId="32F609CF" w14:textId="77777777" w:rsidR="0008799D" w:rsidRPr="0008799D" w:rsidRDefault="0008799D" w:rsidP="0008799D">
      <w:pPr>
        <w:jc w:val="center"/>
      </w:pPr>
    </w:p>
    <w:sectPr w:rsidR="0008799D" w:rsidRPr="0008799D" w:rsidSect="0091791F">
      <w:footerReference w:type="default" r:id="rId27"/>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711865" w14:textId="77777777" w:rsidR="006326D7" w:rsidRDefault="006326D7" w:rsidP="006D0C96">
      <w:pPr>
        <w:spacing w:line="240" w:lineRule="auto"/>
      </w:pPr>
      <w:r>
        <w:separator/>
      </w:r>
    </w:p>
  </w:endnote>
  <w:endnote w:type="continuationSeparator" w:id="0">
    <w:p w14:paraId="2893676E" w14:textId="77777777" w:rsidR="006326D7" w:rsidRDefault="006326D7"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00000003" w:usb1="00000000" w:usb2="00000000" w:usb3="00000000" w:csb0="00000001" w:csb1="00000000"/>
  </w:font>
  <w:font w:name="Book Antiqua">
    <w:panose1 w:val="02040602050305030304"/>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宋体">
    <w:panose1 w:val="00000000000000000000"/>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788171"/>
      <w:docPartObj>
        <w:docPartGallery w:val="Page Numbers (Bottom of Page)"/>
        <w:docPartUnique/>
      </w:docPartObj>
    </w:sdtPr>
    <w:sdtEndPr>
      <w:rPr>
        <w:noProof/>
      </w:rPr>
    </w:sdtEndPr>
    <w:sdtContent>
      <w:p w14:paraId="5729EACA" w14:textId="77777777" w:rsidR="006D0C96" w:rsidRDefault="006D0C96">
        <w:pPr>
          <w:pStyle w:val="Footer"/>
          <w:jc w:val="center"/>
        </w:pPr>
        <w:r>
          <w:fldChar w:fldCharType="begin"/>
        </w:r>
        <w:r>
          <w:instrText xml:space="preserve"> PAGE   \* MERGEFORMAT </w:instrText>
        </w:r>
        <w:r>
          <w:fldChar w:fldCharType="separate"/>
        </w:r>
        <w:r w:rsidR="00CB4EF5">
          <w:rPr>
            <w:noProof/>
          </w:rPr>
          <w:t>10</w:t>
        </w:r>
        <w:r>
          <w:rPr>
            <w:noProof/>
          </w:rPr>
          <w:fldChar w:fldCharType="end"/>
        </w:r>
      </w:p>
    </w:sdtContent>
  </w:sdt>
  <w:p w14:paraId="7E213560" w14:textId="77777777" w:rsidR="006D0C96" w:rsidRDefault="006D0C9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04E897" w14:textId="77777777" w:rsidR="006326D7" w:rsidRDefault="006326D7" w:rsidP="006D0C96">
      <w:pPr>
        <w:spacing w:line="240" w:lineRule="auto"/>
      </w:pPr>
      <w:r>
        <w:separator/>
      </w:r>
    </w:p>
  </w:footnote>
  <w:footnote w:type="continuationSeparator" w:id="0">
    <w:p w14:paraId="5A731156" w14:textId="77777777" w:rsidR="006326D7" w:rsidRDefault="006326D7" w:rsidP="006D0C96">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5690A"/>
    <w:rsid w:val="00075F28"/>
    <w:rsid w:val="0008799D"/>
    <w:rsid w:val="000A1B66"/>
    <w:rsid w:val="000C3A9F"/>
    <w:rsid w:val="001C5EB9"/>
    <w:rsid w:val="00203F92"/>
    <w:rsid w:val="003118C8"/>
    <w:rsid w:val="003A4FB4"/>
    <w:rsid w:val="003D5288"/>
    <w:rsid w:val="00450DB9"/>
    <w:rsid w:val="00463568"/>
    <w:rsid w:val="00463D6B"/>
    <w:rsid w:val="004D0F1A"/>
    <w:rsid w:val="0055217B"/>
    <w:rsid w:val="00564213"/>
    <w:rsid w:val="005A4F32"/>
    <w:rsid w:val="005C4D73"/>
    <w:rsid w:val="006326D7"/>
    <w:rsid w:val="00670F05"/>
    <w:rsid w:val="006D0C96"/>
    <w:rsid w:val="006E1A67"/>
    <w:rsid w:val="0070537F"/>
    <w:rsid w:val="0073030B"/>
    <w:rsid w:val="00751A44"/>
    <w:rsid w:val="00796A7F"/>
    <w:rsid w:val="007C23A2"/>
    <w:rsid w:val="008360E2"/>
    <w:rsid w:val="00855006"/>
    <w:rsid w:val="008B719F"/>
    <w:rsid w:val="008E213F"/>
    <w:rsid w:val="008E3110"/>
    <w:rsid w:val="009150E4"/>
    <w:rsid w:val="0091791F"/>
    <w:rsid w:val="00932F15"/>
    <w:rsid w:val="00943440"/>
    <w:rsid w:val="009D38E2"/>
    <w:rsid w:val="009F2C0A"/>
    <w:rsid w:val="00AE4157"/>
    <w:rsid w:val="00B4015F"/>
    <w:rsid w:val="00B5719D"/>
    <w:rsid w:val="00B75342"/>
    <w:rsid w:val="00B94A58"/>
    <w:rsid w:val="00BD0523"/>
    <w:rsid w:val="00C1589F"/>
    <w:rsid w:val="00C26311"/>
    <w:rsid w:val="00C35812"/>
    <w:rsid w:val="00C82F79"/>
    <w:rsid w:val="00CB4EF5"/>
    <w:rsid w:val="00CC51D0"/>
    <w:rsid w:val="00D40CE0"/>
    <w:rsid w:val="00DB4E53"/>
    <w:rsid w:val="00E00339"/>
    <w:rsid w:val="00E142A8"/>
    <w:rsid w:val="00ED6B96"/>
    <w:rsid w:val="00EE58C0"/>
    <w:rsid w:val="00F35903"/>
    <w:rsid w:val="00F51CFA"/>
    <w:rsid w:val="00F5258E"/>
    <w:rsid w:val="00FA4333"/>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2"/>
    <o:shapelayout v:ext="edit">
      <o:idmap v:ext="edit" data="1"/>
    </o:shapelayout>
  </w:shapeDefaults>
  <w:decimalSymbol w:val="."/>
  <w:listSeparator w:val=","/>
  <w14:docId w14:val="6EA71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emf"/><Relationship Id="rId20" Type="http://schemas.openxmlformats.org/officeDocument/2006/relationships/hyperlink" Target="http://cdip.ucsd.edu/" TargetMode="External"/><Relationship Id="rId21" Type="http://schemas.openxmlformats.org/officeDocument/2006/relationships/image" Target="media/image7.png"/><Relationship Id="rId22" Type="http://schemas.openxmlformats.org/officeDocument/2006/relationships/image" Target="media/image8.emf"/><Relationship Id="rId23" Type="http://schemas.openxmlformats.org/officeDocument/2006/relationships/image" Target="media/image9.emf"/><Relationship Id="rId24" Type="http://schemas.openxmlformats.org/officeDocument/2006/relationships/image" Target="media/image10.emf"/><Relationship Id="rId25" Type="http://schemas.openxmlformats.org/officeDocument/2006/relationships/image" Target="media/image11.emf"/><Relationship Id="rId26" Type="http://schemas.openxmlformats.org/officeDocument/2006/relationships/image" Target="media/image12.tif"/><Relationship Id="rId27" Type="http://schemas.openxmlformats.org/officeDocument/2006/relationships/footer" Target="footer1.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oleObject" Target="embeddings/oleObject1.bin"/><Relationship Id="rId11" Type="http://schemas.openxmlformats.org/officeDocument/2006/relationships/image" Target="media/image2.emf"/><Relationship Id="rId12" Type="http://schemas.openxmlformats.org/officeDocument/2006/relationships/oleObject" Target="embeddings/oleObject2.bin"/><Relationship Id="rId13" Type="http://schemas.openxmlformats.org/officeDocument/2006/relationships/image" Target="media/image3.emf"/><Relationship Id="rId14" Type="http://schemas.openxmlformats.org/officeDocument/2006/relationships/oleObject" Target="embeddings/oleObject3.bin"/><Relationship Id="rId15" Type="http://schemas.openxmlformats.org/officeDocument/2006/relationships/image" Target="media/image4.emf"/><Relationship Id="rId16" Type="http://schemas.openxmlformats.org/officeDocument/2006/relationships/oleObject" Target="embeddings/oleObject4.bin"/><Relationship Id="rId17" Type="http://schemas.openxmlformats.org/officeDocument/2006/relationships/image" Target="media/image5.emf"/><Relationship Id="rId18" Type="http://schemas.openxmlformats.org/officeDocument/2006/relationships/hyperlink" Target="http://www.ndbc.noaa.gov/" TargetMode="External"/><Relationship Id="rId19" Type="http://schemas.openxmlformats.org/officeDocument/2006/relationships/image" Target="media/image6.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C2FE51-8262-7E48-B9AC-A0F627C2D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\CopernicusTemplates\Free-Forms\Blank.dotm</Template>
  <TotalTime>7</TotalTime>
  <Pages>10</Pages>
  <Words>644</Words>
  <Characters>3674</Characters>
  <Application>Microsoft Macintosh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4310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David Koweek</cp:lastModifiedBy>
  <cp:revision>11</cp:revision>
  <cp:lastPrinted>2016-02-01T07:21:00Z</cp:lastPrinted>
  <dcterms:created xsi:type="dcterms:W3CDTF">2016-08-26T15:22:00Z</dcterms:created>
  <dcterms:modified xsi:type="dcterms:W3CDTF">2016-12-02T02:00:00Z</dcterms:modified>
</cp:coreProperties>
</file>